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03" w:rsidRPr="0089022C" w:rsidRDefault="009D2FB8">
      <w:pPr>
        <w:rPr>
          <w:b/>
          <w:sz w:val="32"/>
          <w:szCs w:val="32"/>
        </w:rPr>
      </w:pPr>
      <w:r w:rsidRPr="0089022C">
        <w:rPr>
          <w:b/>
          <w:sz w:val="32"/>
          <w:szCs w:val="32"/>
        </w:rPr>
        <w:t>Toolkit for Strategic Planning</w:t>
      </w:r>
    </w:p>
    <w:p w:rsidR="00234F6B" w:rsidRPr="00614842" w:rsidRDefault="00234F6B" w:rsidP="00234F6B">
      <w:pPr>
        <w:pStyle w:val="Heading1"/>
        <w:spacing w:before="0" w:line="240" w:lineRule="auto"/>
        <w:rPr>
          <w:rFonts w:asciiTheme="minorHAnsi" w:hAnsiTheme="minorHAnsi"/>
          <w:b w:val="0"/>
          <w:color w:val="auto"/>
          <w:sz w:val="24"/>
          <w:szCs w:val="24"/>
        </w:rPr>
      </w:pPr>
      <w:r w:rsidRPr="00614842">
        <w:rPr>
          <w:rFonts w:asciiTheme="minorHAnsi" w:hAnsiTheme="minorHAnsi"/>
          <w:b w:val="0"/>
          <w:color w:val="auto"/>
          <w:sz w:val="24"/>
          <w:szCs w:val="24"/>
        </w:rPr>
        <w:t>Introduction</w:t>
      </w:r>
    </w:p>
    <w:p w:rsidR="00234F6B" w:rsidRPr="00614842" w:rsidRDefault="00234F6B" w:rsidP="0079017B">
      <w:pPr>
        <w:spacing w:after="0" w:line="240" w:lineRule="auto"/>
        <w:ind w:left="720" w:firstLine="720"/>
        <w:rPr>
          <w:sz w:val="24"/>
          <w:szCs w:val="24"/>
        </w:rPr>
      </w:pPr>
      <w:r w:rsidRPr="00614842">
        <w:rPr>
          <w:sz w:val="24"/>
          <w:szCs w:val="24"/>
        </w:rPr>
        <w:t>A. Why we plan</w:t>
      </w:r>
    </w:p>
    <w:p w:rsidR="00234F6B" w:rsidRPr="00614842" w:rsidRDefault="00234F6B" w:rsidP="00234F6B">
      <w:pPr>
        <w:spacing w:after="0" w:line="240" w:lineRule="auto"/>
        <w:ind w:left="720" w:firstLine="720"/>
        <w:rPr>
          <w:sz w:val="24"/>
          <w:szCs w:val="24"/>
        </w:rPr>
      </w:pPr>
      <w:r w:rsidRPr="00614842">
        <w:rPr>
          <w:sz w:val="24"/>
          <w:szCs w:val="24"/>
        </w:rPr>
        <w:t>B. Identify stakeholders</w:t>
      </w:r>
    </w:p>
    <w:p w:rsidR="009D2FB8" w:rsidRPr="00614842" w:rsidRDefault="00234F6B" w:rsidP="00234F6B">
      <w:pPr>
        <w:pStyle w:val="Heading1"/>
        <w:spacing w:before="0" w:line="240" w:lineRule="auto"/>
        <w:rPr>
          <w:rFonts w:asciiTheme="minorHAnsi" w:hAnsiTheme="minorHAnsi"/>
          <w:b w:val="0"/>
          <w:color w:val="auto"/>
          <w:sz w:val="24"/>
          <w:szCs w:val="24"/>
        </w:rPr>
      </w:pPr>
      <w:r w:rsidRPr="00614842">
        <w:rPr>
          <w:rFonts w:asciiTheme="minorHAnsi" w:hAnsiTheme="minorHAnsi"/>
          <w:b w:val="0"/>
          <w:color w:val="auto"/>
          <w:sz w:val="24"/>
          <w:szCs w:val="24"/>
        </w:rPr>
        <w:t>Timeline</w:t>
      </w:r>
    </w:p>
    <w:p w:rsidR="00234F6B" w:rsidRPr="00614842" w:rsidRDefault="00234F6B" w:rsidP="00234F6B">
      <w:pPr>
        <w:spacing w:after="0" w:line="240" w:lineRule="auto"/>
        <w:ind w:left="720" w:firstLine="720"/>
        <w:rPr>
          <w:sz w:val="24"/>
          <w:szCs w:val="24"/>
        </w:rPr>
      </w:pPr>
      <w:r w:rsidRPr="00614842">
        <w:rPr>
          <w:sz w:val="24"/>
          <w:szCs w:val="24"/>
        </w:rPr>
        <w:t>A. Four to six months</w:t>
      </w:r>
    </w:p>
    <w:p w:rsidR="00234F6B" w:rsidRPr="00614842" w:rsidRDefault="00234F6B" w:rsidP="00234F6B">
      <w:pPr>
        <w:spacing w:after="0" w:line="240" w:lineRule="auto"/>
        <w:ind w:left="1440"/>
        <w:rPr>
          <w:sz w:val="24"/>
          <w:szCs w:val="24"/>
        </w:rPr>
      </w:pPr>
      <w:r w:rsidRPr="00614842">
        <w:rPr>
          <w:sz w:val="24"/>
          <w:szCs w:val="24"/>
        </w:rPr>
        <w:t>B. Collect demographics and library statistics</w:t>
      </w:r>
    </w:p>
    <w:p w:rsidR="00234F6B" w:rsidRPr="00614842" w:rsidRDefault="00234F6B" w:rsidP="00234F6B">
      <w:pPr>
        <w:spacing w:after="0" w:line="240" w:lineRule="auto"/>
        <w:ind w:left="720" w:firstLine="720"/>
        <w:rPr>
          <w:sz w:val="24"/>
          <w:szCs w:val="24"/>
        </w:rPr>
      </w:pPr>
      <w:r w:rsidRPr="00614842">
        <w:rPr>
          <w:sz w:val="24"/>
          <w:szCs w:val="24"/>
        </w:rPr>
        <w:t>C. Research best practices and trends</w:t>
      </w:r>
    </w:p>
    <w:p w:rsidR="00234F6B" w:rsidRPr="00614842" w:rsidRDefault="00234F6B" w:rsidP="00234F6B">
      <w:pPr>
        <w:pStyle w:val="Heading1"/>
        <w:spacing w:before="0" w:line="240" w:lineRule="auto"/>
        <w:rPr>
          <w:rFonts w:asciiTheme="minorHAnsi" w:hAnsiTheme="minorHAnsi"/>
          <w:b w:val="0"/>
          <w:color w:val="auto"/>
          <w:sz w:val="24"/>
          <w:szCs w:val="24"/>
        </w:rPr>
      </w:pPr>
      <w:r w:rsidRPr="00614842">
        <w:rPr>
          <w:rFonts w:asciiTheme="minorHAnsi" w:hAnsiTheme="minorHAnsi"/>
          <w:b w:val="0"/>
          <w:color w:val="auto"/>
          <w:sz w:val="24"/>
          <w:szCs w:val="24"/>
        </w:rPr>
        <w:t>Preparation</w:t>
      </w:r>
    </w:p>
    <w:p w:rsidR="00234F6B" w:rsidRPr="00614842" w:rsidRDefault="00234F6B" w:rsidP="00234F6B">
      <w:pPr>
        <w:spacing w:after="0" w:line="240" w:lineRule="auto"/>
        <w:ind w:left="720" w:firstLine="720"/>
        <w:rPr>
          <w:sz w:val="24"/>
          <w:szCs w:val="24"/>
        </w:rPr>
      </w:pPr>
      <w:r w:rsidRPr="00614842">
        <w:rPr>
          <w:sz w:val="24"/>
          <w:szCs w:val="24"/>
        </w:rPr>
        <w:t>A. Survey</w:t>
      </w:r>
    </w:p>
    <w:p w:rsidR="00234F6B" w:rsidRPr="00614842" w:rsidRDefault="00234F6B" w:rsidP="00234F6B">
      <w:pPr>
        <w:spacing w:after="0" w:line="240" w:lineRule="auto"/>
        <w:ind w:left="720" w:firstLine="720"/>
        <w:rPr>
          <w:sz w:val="24"/>
          <w:szCs w:val="24"/>
        </w:rPr>
      </w:pPr>
      <w:r w:rsidRPr="00614842">
        <w:rPr>
          <w:sz w:val="24"/>
          <w:szCs w:val="24"/>
        </w:rPr>
        <w:t>B. Stakeholder Forum</w:t>
      </w:r>
    </w:p>
    <w:p w:rsidR="00234F6B" w:rsidRPr="00614842" w:rsidRDefault="00234F6B" w:rsidP="00234F6B">
      <w:pPr>
        <w:pStyle w:val="Heading1"/>
        <w:spacing w:before="0" w:line="240" w:lineRule="auto"/>
        <w:rPr>
          <w:rFonts w:asciiTheme="minorHAnsi" w:hAnsiTheme="minorHAnsi"/>
          <w:b w:val="0"/>
          <w:color w:val="auto"/>
          <w:sz w:val="24"/>
          <w:szCs w:val="24"/>
        </w:rPr>
      </w:pPr>
      <w:r w:rsidRPr="00614842">
        <w:rPr>
          <w:rFonts w:asciiTheme="minorHAnsi" w:hAnsiTheme="minorHAnsi"/>
          <w:b w:val="0"/>
          <w:color w:val="auto"/>
          <w:sz w:val="24"/>
          <w:szCs w:val="24"/>
        </w:rPr>
        <w:t>Vision Statement</w:t>
      </w:r>
    </w:p>
    <w:p w:rsidR="00234F6B" w:rsidRPr="00614842" w:rsidRDefault="00234F6B" w:rsidP="00234F6B">
      <w:pPr>
        <w:spacing w:after="0" w:line="240" w:lineRule="auto"/>
        <w:ind w:left="720" w:firstLine="720"/>
        <w:rPr>
          <w:sz w:val="24"/>
          <w:szCs w:val="24"/>
        </w:rPr>
      </w:pPr>
      <w:r w:rsidRPr="00614842">
        <w:rPr>
          <w:sz w:val="24"/>
          <w:szCs w:val="24"/>
        </w:rPr>
        <w:t>A. What we want to be</w:t>
      </w:r>
    </w:p>
    <w:p w:rsidR="00234F6B" w:rsidRPr="00614842" w:rsidRDefault="00234F6B" w:rsidP="00234F6B">
      <w:pPr>
        <w:pStyle w:val="Heading1"/>
        <w:spacing w:before="0" w:line="240" w:lineRule="auto"/>
        <w:rPr>
          <w:rFonts w:asciiTheme="minorHAnsi" w:hAnsiTheme="minorHAnsi"/>
          <w:b w:val="0"/>
          <w:color w:val="auto"/>
          <w:sz w:val="24"/>
          <w:szCs w:val="24"/>
        </w:rPr>
      </w:pPr>
      <w:r w:rsidRPr="00614842">
        <w:rPr>
          <w:rFonts w:asciiTheme="minorHAnsi" w:hAnsiTheme="minorHAnsi"/>
          <w:b w:val="0"/>
          <w:color w:val="auto"/>
          <w:sz w:val="24"/>
          <w:szCs w:val="24"/>
        </w:rPr>
        <w:t>Mission Statement</w:t>
      </w:r>
    </w:p>
    <w:p w:rsidR="00234F6B" w:rsidRPr="00614842" w:rsidRDefault="00234F6B" w:rsidP="00234F6B">
      <w:pPr>
        <w:spacing w:after="0" w:line="240" w:lineRule="auto"/>
        <w:ind w:left="1440"/>
        <w:rPr>
          <w:sz w:val="24"/>
          <w:szCs w:val="24"/>
        </w:rPr>
      </w:pPr>
      <w:r w:rsidRPr="00614842">
        <w:rPr>
          <w:sz w:val="24"/>
          <w:szCs w:val="24"/>
        </w:rPr>
        <w:t>A. Why we exist</w:t>
      </w:r>
    </w:p>
    <w:p w:rsidR="00234F6B" w:rsidRPr="00614842" w:rsidRDefault="00234F6B" w:rsidP="00234F6B">
      <w:pPr>
        <w:spacing w:after="0" w:line="240" w:lineRule="auto"/>
        <w:rPr>
          <w:sz w:val="24"/>
          <w:szCs w:val="24"/>
        </w:rPr>
      </w:pPr>
      <w:r w:rsidRPr="00614842">
        <w:rPr>
          <w:sz w:val="24"/>
          <w:szCs w:val="24"/>
        </w:rPr>
        <w:t>VI.</w:t>
      </w:r>
      <w:r w:rsidRPr="00614842">
        <w:rPr>
          <w:sz w:val="24"/>
          <w:szCs w:val="24"/>
        </w:rPr>
        <w:tab/>
        <w:t>Guiding Principles</w:t>
      </w:r>
    </w:p>
    <w:p w:rsidR="00234F6B" w:rsidRPr="00614842" w:rsidRDefault="00234F6B" w:rsidP="00234F6B">
      <w:pPr>
        <w:spacing w:after="0" w:line="240" w:lineRule="auto"/>
        <w:rPr>
          <w:sz w:val="24"/>
          <w:szCs w:val="24"/>
        </w:rPr>
      </w:pPr>
      <w:r w:rsidRPr="00614842">
        <w:rPr>
          <w:sz w:val="24"/>
          <w:szCs w:val="24"/>
        </w:rPr>
        <w:tab/>
      </w:r>
      <w:r w:rsidRPr="00614842">
        <w:rPr>
          <w:sz w:val="24"/>
          <w:szCs w:val="24"/>
        </w:rPr>
        <w:tab/>
        <w:t>A. Core values</w:t>
      </w:r>
    </w:p>
    <w:p w:rsidR="00234F6B" w:rsidRPr="00614842" w:rsidRDefault="00234F6B" w:rsidP="00234F6B">
      <w:pPr>
        <w:spacing w:after="0" w:line="240" w:lineRule="auto"/>
        <w:rPr>
          <w:sz w:val="24"/>
          <w:szCs w:val="24"/>
        </w:rPr>
      </w:pPr>
      <w:r w:rsidRPr="00614842">
        <w:rPr>
          <w:sz w:val="24"/>
          <w:szCs w:val="24"/>
        </w:rPr>
        <w:t>VII.</w:t>
      </w:r>
      <w:r w:rsidRPr="00614842">
        <w:rPr>
          <w:sz w:val="24"/>
          <w:szCs w:val="24"/>
        </w:rPr>
        <w:tab/>
        <w:t>Goals and Objectives</w:t>
      </w:r>
    </w:p>
    <w:p w:rsidR="0079017B" w:rsidRPr="00614842" w:rsidRDefault="0079017B" w:rsidP="00234F6B">
      <w:pPr>
        <w:spacing w:after="0" w:line="240" w:lineRule="auto"/>
        <w:rPr>
          <w:sz w:val="24"/>
          <w:szCs w:val="24"/>
        </w:rPr>
      </w:pPr>
      <w:r w:rsidRPr="00614842">
        <w:rPr>
          <w:sz w:val="24"/>
          <w:szCs w:val="24"/>
        </w:rPr>
        <w:tab/>
      </w:r>
      <w:r w:rsidRPr="00614842">
        <w:rPr>
          <w:sz w:val="24"/>
          <w:szCs w:val="24"/>
        </w:rPr>
        <w:tab/>
        <w:t>A. Spokes</w:t>
      </w:r>
    </w:p>
    <w:p w:rsidR="0079017B" w:rsidRPr="00614842" w:rsidRDefault="0079017B" w:rsidP="00234F6B">
      <w:pPr>
        <w:spacing w:after="0" w:line="240" w:lineRule="auto"/>
        <w:rPr>
          <w:sz w:val="24"/>
          <w:szCs w:val="24"/>
        </w:rPr>
      </w:pPr>
      <w:r w:rsidRPr="00614842">
        <w:rPr>
          <w:sz w:val="24"/>
          <w:szCs w:val="24"/>
        </w:rPr>
        <w:t>VIII.</w:t>
      </w:r>
      <w:r w:rsidRPr="00614842">
        <w:rPr>
          <w:sz w:val="24"/>
          <w:szCs w:val="24"/>
        </w:rPr>
        <w:tab/>
        <w:t>Writing the Strategic Plan</w:t>
      </w:r>
    </w:p>
    <w:p w:rsidR="0079017B" w:rsidRPr="00614842" w:rsidRDefault="0079017B" w:rsidP="00234F6B">
      <w:pPr>
        <w:spacing w:after="0" w:line="240" w:lineRule="auto"/>
        <w:rPr>
          <w:sz w:val="24"/>
          <w:szCs w:val="24"/>
        </w:rPr>
      </w:pPr>
      <w:r w:rsidRPr="00614842">
        <w:rPr>
          <w:sz w:val="24"/>
          <w:szCs w:val="24"/>
        </w:rPr>
        <w:tab/>
      </w:r>
      <w:r w:rsidRPr="00614842">
        <w:rPr>
          <w:sz w:val="24"/>
          <w:szCs w:val="24"/>
        </w:rPr>
        <w:tab/>
        <w:t>A. Reflections</w:t>
      </w:r>
    </w:p>
    <w:p w:rsidR="0079017B" w:rsidRPr="00614842" w:rsidRDefault="0079017B" w:rsidP="00234F6B">
      <w:pPr>
        <w:spacing w:after="0" w:line="240" w:lineRule="auto"/>
        <w:rPr>
          <w:sz w:val="24"/>
          <w:szCs w:val="24"/>
        </w:rPr>
      </w:pPr>
      <w:r w:rsidRPr="00614842">
        <w:rPr>
          <w:sz w:val="24"/>
          <w:szCs w:val="24"/>
        </w:rPr>
        <w:tab/>
      </w:r>
      <w:r w:rsidRPr="00614842">
        <w:rPr>
          <w:sz w:val="24"/>
          <w:szCs w:val="24"/>
        </w:rPr>
        <w:tab/>
        <w:t>B. Observations</w:t>
      </w:r>
    </w:p>
    <w:p w:rsidR="0079017B" w:rsidRPr="00614842" w:rsidRDefault="0079017B" w:rsidP="00234F6B">
      <w:pPr>
        <w:spacing w:after="0" w:line="240" w:lineRule="auto"/>
        <w:rPr>
          <w:sz w:val="24"/>
          <w:szCs w:val="24"/>
        </w:rPr>
      </w:pPr>
      <w:r w:rsidRPr="00614842">
        <w:rPr>
          <w:sz w:val="24"/>
          <w:szCs w:val="24"/>
        </w:rPr>
        <w:tab/>
      </w:r>
      <w:r w:rsidRPr="00614842">
        <w:rPr>
          <w:sz w:val="24"/>
          <w:szCs w:val="24"/>
        </w:rPr>
        <w:tab/>
        <w:t>C. Opportunities</w:t>
      </w:r>
    </w:p>
    <w:p w:rsidR="0079017B" w:rsidRPr="00614842" w:rsidRDefault="0079017B" w:rsidP="00234F6B">
      <w:pPr>
        <w:spacing w:after="0" w:line="240" w:lineRule="auto"/>
        <w:rPr>
          <w:sz w:val="24"/>
          <w:szCs w:val="24"/>
        </w:rPr>
      </w:pPr>
      <w:r w:rsidRPr="00614842">
        <w:rPr>
          <w:sz w:val="24"/>
          <w:szCs w:val="24"/>
        </w:rPr>
        <w:t>IX.</w:t>
      </w:r>
      <w:r w:rsidRPr="00614842">
        <w:rPr>
          <w:sz w:val="24"/>
          <w:szCs w:val="24"/>
        </w:rPr>
        <w:tab/>
        <w:t>Adoption and Post</w:t>
      </w:r>
    </w:p>
    <w:p w:rsidR="0079017B" w:rsidRPr="00614842" w:rsidRDefault="0079017B" w:rsidP="00234F6B">
      <w:pPr>
        <w:spacing w:after="0" w:line="240" w:lineRule="auto"/>
        <w:rPr>
          <w:sz w:val="24"/>
          <w:szCs w:val="24"/>
        </w:rPr>
      </w:pPr>
      <w:r w:rsidRPr="00614842">
        <w:rPr>
          <w:sz w:val="24"/>
          <w:szCs w:val="24"/>
        </w:rPr>
        <w:tab/>
      </w:r>
      <w:r w:rsidRPr="00614842">
        <w:rPr>
          <w:sz w:val="24"/>
          <w:szCs w:val="24"/>
        </w:rPr>
        <w:tab/>
        <w:t>A. Recommendation from board to adopt</w:t>
      </w:r>
    </w:p>
    <w:p w:rsidR="0079017B" w:rsidRPr="00614842" w:rsidRDefault="0079017B" w:rsidP="00234F6B">
      <w:pPr>
        <w:spacing w:after="0" w:line="240" w:lineRule="auto"/>
        <w:rPr>
          <w:sz w:val="24"/>
          <w:szCs w:val="24"/>
        </w:rPr>
      </w:pPr>
      <w:r w:rsidRPr="00614842">
        <w:rPr>
          <w:sz w:val="24"/>
          <w:szCs w:val="24"/>
        </w:rPr>
        <w:tab/>
      </w:r>
      <w:r w:rsidRPr="00614842">
        <w:rPr>
          <w:sz w:val="24"/>
          <w:szCs w:val="24"/>
        </w:rPr>
        <w:tab/>
        <w:t>B. Submit to council or governing body</w:t>
      </w:r>
    </w:p>
    <w:p w:rsidR="0079017B" w:rsidRPr="00614842" w:rsidRDefault="0079017B" w:rsidP="00234F6B">
      <w:pPr>
        <w:spacing w:after="0" w:line="240" w:lineRule="auto"/>
        <w:rPr>
          <w:sz w:val="24"/>
          <w:szCs w:val="24"/>
        </w:rPr>
      </w:pPr>
      <w:r w:rsidRPr="00614842">
        <w:rPr>
          <w:sz w:val="24"/>
          <w:szCs w:val="24"/>
        </w:rPr>
        <w:tab/>
      </w:r>
      <w:r w:rsidRPr="00614842">
        <w:rPr>
          <w:sz w:val="24"/>
          <w:szCs w:val="24"/>
        </w:rPr>
        <w:tab/>
        <w:t>C. Have all staff read it</w:t>
      </w:r>
    </w:p>
    <w:p w:rsidR="0079017B" w:rsidRPr="00614842" w:rsidRDefault="0079017B" w:rsidP="00234F6B">
      <w:pPr>
        <w:spacing w:after="0" w:line="240" w:lineRule="auto"/>
        <w:rPr>
          <w:sz w:val="24"/>
          <w:szCs w:val="24"/>
        </w:rPr>
      </w:pPr>
      <w:r w:rsidRPr="00614842">
        <w:rPr>
          <w:sz w:val="24"/>
          <w:szCs w:val="24"/>
        </w:rPr>
        <w:tab/>
      </w:r>
      <w:r w:rsidRPr="00614842">
        <w:rPr>
          <w:sz w:val="24"/>
          <w:szCs w:val="24"/>
        </w:rPr>
        <w:tab/>
        <w:t>D. Post on website</w:t>
      </w:r>
    </w:p>
    <w:p w:rsidR="0079017B" w:rsidRPr="00614842" w:rsidRDefault="0079017B" w:rsidP="00234F6B">
      <w:pPr>
        <w:spacing w:after="0" w:line="240" w:lineRule="auto"/>
        <w:rPr>
          <w:sz w:val="24"/>
          <w:szCs w:val="24"/>
        </w:rPr>
      </w:pPr>
      <w:r w:rsidRPr="00614842">
        <w:rPr>
          <w:sz w:val="24"/>
          <w:szCs w:val="24"/>
        </w:rPr>
        <w:t>X.</w:t>
      </w:r>
      <w:r w:rsidRPr="00614842">
        <w:rPr>
          <w:sz w:val="24"/>
          <w:szCs w:val="24"/>
        </w:rPr>
        <w:tab/>
      </w:r>
      <w:proofErr w:type="spellStart"/>
      <w:r w:rsidRPr="00614842">
        <w:rPr>
          <w:sz w:val="24"/>
          <w:szCs w:val="24"/>
        </w:rPr>
        <w:t>Workplan</w:t>
      </w:r>
      <w:proofErr w:type="spellEnd"/>
    </w:p>
    <w:p w:rsidR="0079017B" w:rsidRPr="00614842" w:rsidRDefault="0079017B" w:rsidP="00234F6B">
      <w:pPr>
        <w:spacing w:after="0" w:line="240" w:lineRule="auto"/>
        <w:rPr>
          <w:sz w:val="24"/>
          <w:szCs w:val="24"/>
        </w:rPr>
      </w:pPr>
      <w:r w:rsidRPr="00614842">
        <w:rPr>
          <w:sz w:val="24"/>
          <w:szCs w:val="24"/>
        </w:rPr>
        <w:tab/>
      </w:r>
      <w:r w:rsidRPr="00614842">
        <w:rPr>
          <w:sz w:val="24"/>
          <w:szCs w:val="24"/>
        </w:rPr>
        <w:tab/>
        <w:t>A. Communication tool</w:t>
      </w:r>
    </w:p>
    <w:p w:rsidR="00614842" w:rsidRPr="00614842" w:rsidRDefault="00614842" w:rsidP="00234F6B">
      <w:pPr>
        <w:spacing w:after="0" w:line="240" w:lineRule="auto"/>
        <w:rPr>
          <w:sz w:val="24"/>
          <w:szCs w:val="24"/>
        </w:rPr>
      </w:pPr>
    </w:p>
    <w:p w:rsidR="00614842" w:rsidRPr="00614842" w:rsidRDefault="00614842">
      <w:pPr>
        <w:rPr>
          <w:sz w:val="24"/>
          <w:szCs w:val="24"/>
        </w:rPr>
      </w:pPr>
      <w:r w:rsidRPr="00614842">
        <w:rPr>
          <w:sz w:val="24"/>
          <w:szCs w:val="24"/>
        </w:rPr>
        <w:br w:type="page"/>
      </w:r>
    </w:p>
    <w:p w:rsidR="00614842" w:rsidRPr="00614842" w:rsidRDefault="00614842" w:rsidP="00614842">
      <w:pPr>
        <w:numPr>
          <w:ilvl w:val="0"/>
          <w:numId w:val="3"/>
        </w:numPr>
        <w:spacing w:after="0" w:line="240" w:lineRule="auto"/>
        <w:rPr>
          <w:rFonts w:cs="Arial"/>
          <w:sz w:val="24"/>
          <w:szCs w:val="24"/>
        </w:rPr>
      </w:pPr>
      <w:r w:rsidRPr="00614842">
        <w:rPr>
          <w:rFonts w:cs="Arial"/>
          <w:sz w:val="24"/>
          <w:szCs w:val="24"/>
        </w:rPr>
        <w:lastRenderedPageBreak/>
        <w:t>Staffing</w:t>
      </w:r>
    </w:p>
    <w:p w:rsidR="00614842" w:rsidRPr="00614842" w:rsidRDefault="00614842" w:rsidP="00614842">
      <w:pPr>
        <w:numPr>
          <w:ilvl w:val="1"/>
          <w:numId w:val="3"/>
        </w:numPr>
        <w:spacing w:after="0" w:line="240" w:lineRule="auto"/>
        <w:rPr>
          <w:rFonts w:cs="Arial"/>
          <w:sz w:val="24"/>
          <w:szCs w:val="24"/>
        </w:rPr>
      </w:pPr>
      <w:r w:rsidRPr="00614842">
        <w:rPr>
          <w:rFonts w:cs="Arial"/>
          <w:sz w:val="24"/>
          <w:szCs w:val="24"/>
        </w:rPr>
        <w:t>Manage workforce development to allow staff to grow professionally, maximize staffing efficiency and effectiveness, and identify diverse and creative ways to use volunteers.  In doing so, we will remain committed to guiding principles of responsiveness, accessibility, communication, inclusiveness, teamwork and collaboration.</w:t>
      </w:r>
    </w:p>
    <w:p w:rsidR="00614842" w:rsidRPr="00614842" w:rsidRDefault="00614842" w:rsidP="00614842">
      <w:pPr>
        <w:numPr>
          <w:ilvl w:val="0"/>
          <w:numId w:val="3"/>
        </w:numPr>
        <w:spacing w:after="0" w:line="240" w:lineRule="auto"/>
        <w:rPr>
          <w:rFonts w:cs="Arial"/>
          <w:sz w:val="24"/>
          <w:szCs w:val="24"/>
        </w:rPr>
      </w:pPr>
      <w:r w:rsidRPr="00614842">
        <w:rPr>
          <w:rFonts w:cs="Arial"/>
          <w:sz w:val="24"/>
          <w:szCs w:val="24"/>
        </w:rPr>
        <w:t>Collection Management</w:t>
      </w:r>
    </w:p>
    <w:p w:rsidR="00614842" w:rsidRPr="00614842" w:rsidRDefault="00614842" w:rsidP="00614842">
      <w:pPr>
        <w:numPr>
          <w:ilvl w:val="1"/>
          <w:numId w:val="3"/>
        </w:numPr>
        <w:spacing w:after="0" w:line="240" w:lineRule="auto"/>
        <w:rPr>
          <w:rFonts w:cs="Arial"/>
          <w:sz w:val="24"/>
          <w:szCs w:val="24"/>
        </w:rPr>
      </w:pPr>
      <w:r w:rsidRPr="00614842">
        <w:rPr>
          <w:rFonts w:cs="Arial"/>
          <w:sz w:val="24"/>
          <w:szCs w:val="24"/>
        </w:rPr>
        <w:t>The collection is the foundation of the library system and at the core of commitment to freedom to read, view and inform in a democratic society.  We will create a community of readers and learners by maintaining easily accessible collections that educate, entertain, challenge, empower and respond to the needs and interests of a dynamic community.</w:t>
      </w:r>
    </w:p>
    <w:p w:rsidR="00614842" w:rsidRPr="00614842" w:rsidRDefault="00614842" w:rsidP="00614842">
      <w:pPr>
        <w:numPr>
          <w:ilvl w:val="0"/>
          <w:numId w:val="3"/>
        </w:numPr>
        <w:spacing w:after="0" w:line="240" w:lineRule="auto"/>
        <w:rPr>
          <w:rFonts w:cs="Arial"/>
          <w:sz w:val="24"/>
          <w:szCs w:val="24"/>
        </w:rPr>
      </w:pPr>
      <w:r w:rsidRPr="00614842">
        <w:rPr>
          <w:rFonts w:cs="Arial"/>
          <w:sz w:val="24"/>
          <w:szCs w:val="24"/>
        </w:rPr>
        <w:t>Programs and Services</w:t>
      </w:r>
    </w:p>
    <w:p w:rsidR="00614842" w:rsidRPr="00614842" w:rsidRDefault="00614842" w:rsidP="00614842">
      <w:pPr>
        <w:numPr>
          <w:ilvl w:val="1"/>
          <w:numId w:val="3"/>
        </w:numPr>
        <w:spacing w:after="0" w:line="240" w:lineRule="auto"/>
        <w:rPr>
          <w:rFonts w:cs="Arial"/>
          <w:sz w:val="24"/>
          <w:szCs w:val="24"/>
        </w:rPr>
      </w:pPr>
      <w:r w:rsidRPr="00614842">
        <w:rPr>
          <w:rFonts w:cs="Arial"/>
          <w:sz w:val="24"/>
          <w:szCs w:val="24"/>
        </w:rPr>
        <w:t>WLPL will formulize and monitor a process to expand, innovate and manage programs and services consistent with its mission, guiding principles and all available resources, targeting value-added public service and responsiveness to the community’s diverse economic, social, educational and cultural life.</w:t>
      </w:r>
    </w:p>
    <w:p w:rsidR="00614842" w:rsidRPr="00614842" w:rsidRDefault="00614842" w:rsidP="00614842">
      <w:pPr>
        <w:numPr>
          <w:ilvl w:val="0"/>
          <w:numId w:val="3"/>
        </w:numPr>
        <w:spacing w:after="0" w:line="240" w:lineRule="auto"/>
        <w:rPr>
          <w:rFonts w:cs="Arial"/>
          <w:sz w:val="24"/>
          <w:szCs w:val="24"/>
        </w:rPr>
      </w:pPr>
      <w:r w:rsidRPr="00614842">
        <w:rPr>
          <w:rFonts w:cs="Arial"/>
          <w:sz w:val="24"/>
          <w:szCs w:val="24"/>
        </w:rPr>
        <w:t>Partnerships and Collaborations</w:t>
      </w:r>
    </w:p>
    <w:p w:rsidR="00614842" w:rsidRPr="00614842" w:rsidRDefault="00614842" w:rsidP="00614842">
      <w:pPr>
        <w:numPr>
          <w:ilvl w:val="1"/>
          <w:numId w:val="3"/>
        </w:numPr>
        <w:spacing w:after="0" w:line="240" w:lineRule="auto"/>
        <w:rPr>
          <w:rFonts w:cs="Arial"/>
          <w:sz w:val="24"/>
          <w:szCs w:val="24"/>
        </w:rPr>
      </w:pPr>
      <w:r w:rsidRPr="00614842">
        <w:rPr>
          <w:rFonts w:cs="Arial"/>
          <w:sz w:val="24"/>
          <w:szCs w:val="24"/>
        </w:rPr>
        <w:t>In order to expand capacity and to enhance its programs, services and diversity of resources, WLPL will develop partnerships with the broadest possible spectrum of community organizations.  In doing so, we will build strong communities, support economic development and enhance educational, informational and cultural development.</w:t>
      </w:r>
    </w:p>
    <w:p w:rsidR="00614842" w:rsidRPr="00614842" w:rsidRDefault="00614842" w:rsidP="00614842">
      <w:pPr>
        <w:numPr>
          <w:ilvl w:val="0"/>
          <w:numId w:val="3"/>
        </w:numPr>
        <w:spacing w:after="0" w:line="240" w:lineRule="auto"/>
        <w:rPr>
          <w:rFonts w:cs="Arial"/>
          <w:sz w:val="24"/>
          <w:szCs w:val="24"/>
        </w:rPr>
      </w:pPr>
      <w:r w:rsidRPr="00614842">
        <w:rPr>
          <w:rFonts w:cs="Arial"/>
          <w:sz w:val="24"/>
          <w:szCs w:val="24"/>
        </w:rPr>
        <w:t>Technology</w:t>
      </w:r>
    </w:p>
    <w:p w:rsidR="00614842" w:rsidRPr="00614842" w:rsidRDefault="00614842" w:rsidP="00614842">
      <w:pPr>
        <w:numPr>
          <w:ilvl w:val="1"/>
          <w:numId w:val="3"/>
        </w:numPr>
        <w:spacing w:after="0" w:line="240" w:lineRule="auto"/>
        <w:rPr>
          <w:rFonts w:cs="Arial"/>
          <w:sz w:val="24"/>
          <w:szCs w:val="24"/>
        </w:rPr>
      </w:pPr>
      <w:r w:rsidRPr="00614842">
        <w:rPr>
          <w:rFonts w:cs="Arial"/>
          <w:sz w:val="24"/>
          <w:szCs w:val="24"/>
        </w:rPr>
        <w:t>Technology will enable WLPL to improve efficiency and public access by improving internal and external processes that expand use and utility of the myriad of Library resources available online and in the Library.</w:t>
      </w:r>
    </w:p>
    <w:p w:rsidR="00614842" w:rsidRPr="00614842" w:rsidRDefault="00614842" w:rsidP="00614842">
      <w:pPr>
        <w:numPr>
          <w:ilvl w:val="0"/>
          <w:numId w:val="3"/>
        </w:numPr>
        <w:spacing w:after="0" w:line="240" w:lineRule="auto"/>
        <w:rPr>
          <w:rFonts w:cs="Arial"/>
          <w:sz w:val="24"/>
          <w:szCs w:val="24"/>
        </w:rPr>
      </w:pPr>
      <w:r w:rsidRPr="00614842">
        <w:rPr>
          <w:rFonts w:cs="Arial"/>
          <w:sz w:val="24"/>
          <w:szCs w:val="24"/>
        </w:rPr>
        <w:t>Community Relations and Marketing</w:t>
      </w:r>
    </w:p>
    <w:p w:rsidR="00614842" w:rsidRPr="00614842" w:rsidRDefault="00614842" w:rsidP="00614842">
      <w:pPr>
        <w:numPr>
          <w:ilvl w:val="1"/>
          <w:numId w:val="3"/>
        </w:numPr>
        <w:spacing w:after="0" w:line="240" w:lineRule="auto"/>
        <w:rPr>
          <w:rFonts w:cs="Arial"/>
          <w:sz w:val="24"/>
          <w:szCs w:val="24"/>
        </w:rPr>
      </w:pPr>
      <w:r w:rsidRPr="00614842">
        <w:rPr>
          <w:rFonts w:cs="Arial"/>
          <w:sz w:val="24"/>
          <w:szCs w:val="24"/>
        </w:rPr>
        <w:t>Access to knowledge, information, education and culture is at the heart of the Library system.  It is our responsibility to increase awareness in all demographic groups of the myriad of learning opportunities, facility, technologies, services, programs and resources available through the Library and to our community of library users.</w:t>
      </w:r>
    </w:p>
    <w:p w:rsidR="00614842" w:rsidRPr="00614842" w:rsidRDefault="00614842" w:rsidP="00614842">
      <w:pPr>
        <w:numPr>
          <w:ilvl w:val="0"/>
          <w:numId w:val="3"/>
        </w:numPr>
        <w:spacing w:after="0" w:line="240" w:lineRule="auto"/>
        <w:rPr>
          <w:rFonts w:cs="Arial"/>
          <w:sz w:val="24"/>
          <w:szCs w:val="24"/>
        </w:rPr>
      </w:pPr>
      <w:r w:rsidRPr="00614842">
        <w:rPr>
          <w:rFonts w:cs="Arial"/>
          <w:sz w:val="24"/>
          <w:szCs w:val="24"/>
        </w:rPr>
        <w:t>Funding</w:t>
      </w:r>
    </w:p>
    <w:p w:rsidR="00614842" w:rsidRPr="00614842" w:rsidRDefault="00614842" w:rsidP="00614842">
      <w:pPr>
        <w:numPr>
          <w:ilvl w:val="1"/>
          <w:numId w:val="3"/>
        </w:numPr>
        <w:spacing w:after="0" w:line="240" w:lineRule="auto"/>
        <w:rPr>
          <w:rFonts w:cs="Arial"/>
          <w:sz w:val="24"/>
          <w:szCs w:val="24"/>
        </w:rPr>
      </w:pPr>
      <w:r w:rsidRPr="00614842">
        <w:rPr>
          <w:rFonts w:cs="Arial"/>
          <w:sz w:val="24"/>
          <w:szCs w:val="24"/>
        </w:rPr>
        <w:t>Supporting the dynamic needs of the Library’s community of users, we will continue to implement prudent, innovative financial management and fundraising strategies, enabling the City’s Library System to sustain and enhance the quality of collections, programs, services, facility, staffing and technology for which the City is recognized across the nation.</w:t>
      </w:r>
    </w:p>
    <w:p w:rsidR="00614842" w:rsidRPr="00614842" w:rsidRDefault="00614842" w:rsidP="00614842">
      <w:pPr>
        <w:numPr>
          <w:ilvl w:val="0"/>
          <w:numId w:val="3"/>
        </w:numPr>
        <w:spacing w:after="0" w:line="240" w:lineRule="auto"/>
        <w:rPr>
          <w:rFonts w:cs="Arial"/>
          <w:sz w:val="24"/>
          <w:szCs w:val="24"/>
        </w:rPr>
      </w:pPr>
      <w:r w:rsidRPr="00614842">
        <w:rPr>
          <w:rFonts w:cs="Arial"/>
          <w:sz w:val="24"/>
          <w:szCs w:val="24"/>
        </w:rPr>
        <w:t>Facility</w:t>
      </w:r>
    </w:p>
    <w:p w:rsidR="00614842" w:rsidRPr="00614842" w:rsidRDefault="00614842" w:rsidP="00614842">
      <w:pPr>
        <w:numPr>
          <w:ilvl w:val="1"/>
          <w:numId w:val="3"/>
        </w:numPr>
        <w:spacing w:after="0" w:line="240" w:lineRule="auto"/>
        <w:rPr>
          <w:rFonts w:cs="Arial"/>
          <w:sz w:val="24"/>
          <w:szCs w:val="24"/>
        </w:rPr>
      </w:pPr>
      <w:r w:rsidRPr="00614842">
        <w:rPr>
          <w:rFonts w:cs="Arial"/>
          <w:sz w:val="24"/>
          <w:szCs w:val="24"/>
        </w:rPr>
        <w:t>Manage the facility in a way that expands capacity, builds community, facilitates access and fairly responds to demographic growth and diversity.</w:t>
      </w:r>
    </w:p>
    <w:p w:rsidR="00614842" w:rsidRDefault="00614842" w:rsidP="00234F6B">
      <w:pPr>
        <w:spacing w:after="0" w:line="240" w:lineRule="auto"/>
      </w:pPr>
    </w:p>
    <w:p w:rsidR="00234F6B" w:rsidRPr="00234F6B" w:rsidRDefault="00234F6B" w:rsidP="00234F6B"/>
    <w:sectPr w:rsidR="00234F6B" w:rsidRPr="00234F6B" w:rsidSect="002E46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77C3"/>
    <w:multiLevelType w:val="hybridMultilevel"/>
    <w:tmpl w:val="70DC32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1A6615"/>
    <w:multiLevelType w:val="hybridMultilevel"/>
    <w:tmpl w:val="F104AE9C"/>
    <w:lvl w:ilvl="0" w:tplc="F948C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40D2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D2FB8"/>
    <w:rsid w:val="00234F6B"/>
    <w:rsid w:val="002E4603"/>
    <w:rsid w:val="00614842"/>
    <w:rsid w:val="0079017B"/>
    <w:rsid w:val="0089022C"/>
    <w:rsid w:val="009D2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03"/>
  </w:style>
  <w:style w:type="paragraph" w:styleId="Heading1">
    <w:name w:val="heading 1"/>
    <w:basedOn w:val="Normal"/>
    <w:next w:val="Normal"/>
    <w:link w:val="Heading1Char"/>
    <w:uiPriority w:val="9"/>
    <w:qFormat/>
    <w:rsid w:val="00234F6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4F6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4F6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4F6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4F6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4F6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4F6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4F6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4F6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F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4F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34F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34F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34F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34F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34F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4F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4F6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34F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Satchwell</dc:creator>
  <cp:lastModifiedBy>Satchwell</cp:lastModifiedBy>
  <cp:revision>4</cp:revision>
  <dcterms:created xsi:type="dcterms:W3CDTF">2012-04-22T18:23:00Z</dcterms:created>
  <dcterms:modified xsi:type="dcterms:W3CDTF">2012-04-22T18:57:00Z</dcterms:modified>
</cp:coreProperties>
</file>